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66CFF" w14:textId="3DF096E6" w:rsidR="006F2DB0" w:rsidRPr="005243A0" w:rsidRDefault="006F2DB0" w:rsidP="005243A0">
      <w:pPr>
        <w:spacing w:before="400" w:after="0" w:line="240" w:lineRule="auto"/>
        <w:textAlignment w:val="baseline"/>
        <w:outlineLvl w:val="2"/>
        <w:rPr>
          <w:rFonts w:ascii="Open Sans" w:eastAsia="Times New Roman" w:hAnsi="Open Sans" w:cs="Open Sans"/>
          <w:b/>
          <w:bCs/>
          <w:color w:val="000000"/>
          <w:sz w:val="27"/>
          <w:szCs w:val="27"/>
          <w:lang w:eastAsia="en-GB"/>
        </w:rPr>
      </w:pPr>
      <w:r w:rsidRPr="005243A0">
        <w:rPr>
          <w:rFonts w:ascii="Open Sans" w:eastAsia="Times New Roman" w:hAnsi="Open Sans" w:cs="Open Sans"/>
          <w:b/>
          <w:bCs/>
          <w:color w:val="000000"/>
          <w:lang w:eastAsia="en-GB"/>
        </w:rPr>
        <w:t>A better response to the impact of Covid-19 on education</w:t>
      </w:r>
    </w:p>
    <w:p w14:paraId="49D46512" w14:textId="77777777" w:rsidR="005243A0" w:rsidRPr="005243A0" w:rsidRDefault="005243A0" w:rsidP="006F2DB0">
      <w:pPr>
        <w:spacing w:after="0" w:line="240" w:lineRule="auto"/>
        <w:ind w:left="284" w:hanging="284"/>
        <w:rPr>
          <w:rFonts w:ascii="Open Sans" w:eastAsia="Times New Roman" w:hAnsi="Open Sans" w:cs="Open Sans"/>
          <w:i/>
          <w:iCs/>
          <w:lang w:eastAsia="en-GB"/>
        </w:rPr>
      </w:pPr>
    </w:p>
    <w:p w14:paraId="3514F920" w14:textId="10399709" w:rsidR="005243A0" w:rsidRDefault="005243A0" w:rsidP="006F2DB0">
      <w:pPr>
        <w:spacing w:after="0" w:line="240" w:lineRule="auto"/>
        <w:ind w:left="284" w:hanging="284"/>
        <w:rPr>
          <w:rFonts w:ascii="Open Sans" w:eastAsia="Times New Roman" w:hAnsi="Open Sans" w:cs="Open Sans"/>
          <w:i/>
          <w:iCs/>
          <w:color w:val="000000"/>
          <w:lang w:eastAsia="en-GB"/>
        </w:rPr>
      </w:pPr>
      <w:r>
        <w:rPr>
          <w:rFonts w:ascii="Open Sans" w:eastAsia="Times New Roman" w:hAnsi="Open Sans" w:cs="Open Sans"/>
          <w:i/>
          <w:iCs/>
          <w:color w:val="000000"/>
          <w:lang w:eastAsia="en-GB"/>
        </w:rPr>
        <w:t>Note: this motion was written by LDEA and was submitted by Cambridge Lib Dems. An Amendment by Sheffield Lib Dems was successful. Their contributions are noted in blue text in the version below.</w:t>
      </w:r>
    </w:p>
    <w:p w14:paraId="0C63E820" w14:textId="77777777" w:rsidR="005243A0" w:rsidRDefault="005243A0" w:rsidP="006F2DB0">
      <w:pPr>
        <w:spacing w:after="0" w:line="240" w:lineRule="auto"/>
        <w:ind w:left="284" w:hanging="284"/>
        <w:rPr>
          <w:rFonts w:ascii="Open Sans" w:eastAsia="Times New Roman" w:hAnsi="Open Sans" w:cs="Open Sans"/>
          <w:i/>
          <w:iCs/>
          <w:color w:val="000000"/>
          <w:lang w:eastAsia="en-GB"/>
        </w:rPr>
      </w:pPr>
    </w:p>
    <w:p w14:paraId="64D89DD9" w14:textId="16E2A751" w:rsidR="005243A0" w:rsidRPr="005243A0" w:rsidRDefault="005243A0" w:rsidP="006F2DB0">
      <w:pPr>
        <w:spacing w:after="0" w:line="240" w:lineRule="auto"/>
        <w:ind w:left="284" w:hanging="284"/>
        <w:rPr>
          <w:rFonts w:ascii="Open Sans" w:eastAsia="Times New Roman" w:hAnsi="Open Sans" w:cs="Open Sans"/>
          <w:i/>
          <w:iCs/>
          <w:color w:val="000000"/>
          <w:lang w:eastAsia="en-GB"/>
        </w:rPr>
      </w:pPr>
      <w:r>
        <w:rPr>
          <w:rFonts w:ascii="Open Sans" w:eastAsia="Times New Roman" w:hAnsi="Open Sans" w:cs="Open Sans"/>
          <w:i/>
          <w:iCs/>
          <w:color w:val="000000"/>
          <w:lang w:eastAsia="en-GB"/>
        </w:rPr>
        <w:t>The text here represents the final text of the policy as passed by Conference.</w:t>
      </w:r>
    </w:p>
    <w:p w14:paraId="7D8BED55" w14:textId="77777777" w:rsidR="005243A0" w:rsidRDefault="005243A0" w:rsidP="006F2DB0">
      <w:pPr>
        <w:spacing w:after="0" w:line="240" w:lineRule="auto"/>
        <w:ind w:left="284" w:hanging="284"/>
        <w:rPr>
          <w:rFonts w:ascii="Open Sans" w:eastAsia="Times New Roman" w:hAnsi="Open Sans" w:cs="Open Sans"/>
          <w:color w:val="000000"/>
          <w:lang w:eastAsia="en-GB"/>
        </w:rPr>
      </w:pPr>
    </w:p>
    <w:p w14:paraId="16000854" w14:textId="5BE9D81F" w:rsidR="006F2DB0" w:rsidRPr="005243A0" w:rsidRDefault="006F2DB0" w:rsidP="006F2DB0">
      <w:pPr>
        <w:spacing w:after="0" w:line="240" w:lineRule="auto"/>
        <w:ind w:left="284" w:hanging="284"/>
        <w:rPr>
          <w:rFonts w:ascii="Open Sans" w:eastAsia="Times New Roman" w:hAnsi="Open Sans" w:cs="Open Sans"/>
          <w:lang w:eastAsia="en-GB"/>
        </w:rPr>
      </w:pPr>
      <w:r w:rsidRPr="005243A0">
        <w:rPr>
          <w:rFonts w:ascii="Open Sans" w:eastAsia="Times New Roman" w:hAnsi="Open Sans" w:cs="Open Sans"/>
          <w:color w:val="000000"/>
          <w:lang w:eastAsia="en-GB"/>
        </w:rPr>
        <w:t>Conference notes</w:t>
      </w:r>
      <w:r w:rsidR="005243A0" w:rsidRPr="005243A0">
        <w:rPr>
          <w:rFonts w:ascii="Open Sans" w:eastAsia="Times New Roman" w:hAnsi="Open Sans" w:cs="Open Sans"/>
          <w:color w:val="000000"/>
          <w:lang w:eastAsia="en-GB"/>
        </w:rPr>
        <w:t xml:space="preserve"> that</w:t>
      </w:r>
      <w:r w:rsidRPr="005243A0">
        <w:rPr>
          <w:rFonts w:ascii="Open Sans" w:eastAsia="Times New Roman" w:hAnsi="Open Sans" w:cs="Open Sans"/>
          <w:color w:val="000000"/>
          <w:lang w:eastAsia="en-GB"/>
        </w:rPr>
        <w:t>:</w:t>
      </w:r>
    </w:p>
    <w:p w14:paraId="1A4C2D0C" w14:textId="77777777" w:rsidR="006F2DB0" w:rsidRPr="005243A0" w:rsidRDefault="006F2DB0" w:rsidP="006F2DB0">
      <w:pPr>
        <w:spacing w:after="0" w:line="240" w:lineRule="auto"/>
        <w:ind w:left="284" w:hanging="284"/>
        <w:rPr>
          <w:rFonts w:ascii="Open Sans" w:eastAsia="Times New Roman" w:hAnsi="Open Sans" w:cs="Open Sans"/>
          <w:lang w:eastAsia="en-GB"/>
        </w:rPr>
      </w:pPr>
    </w:p>
    <w:p w14:paraId="3FFB7224" w14:textId="2C56A878" w:rsidR="005243A0" w:rsidRPr="005243A0" w:rsidRDefault="005243A0" w:rsidP="005243A0">
      <w:pPr>
        <w:pStyle w:val="ListParagraph"/>
        <w:numPr>
          <w:ilvl w:val="0"/>
          <w:numId w:val="3"/>
        </w:numPr>
        <w:spacing w:after="0" w:line="240" w:lineRule="auto"/>
        <w:rPr>
          <w:rFonts w:ascii="Open Sans" w:hAnsi="Open Sans" w:cs="Open Sans"/>
        </w:rPr>
      </w:pPr>
      <w:r w:rsidRPr="005243A0">
        <w:rPr>
          <w:rFonts w:ascii="Open Sans" w:hAnsi="Open Sans" w:cs="Open Sans"/>
        </w:rPr>
        <w:t xml:space="preserve">Young people’s education and opportunities have been hit hard by COVID-19. </w:t>
      </w:r>
    </w:p>
    <w:p w14:paraId="59BFE279" w14:textId="77777777" w:rsidR="005243A0" w:rsidRPr="005243A0" w:rsidRDefault="005243A0" w:rsidP="005243A0">
      <w:pPr>
        <w:pStyle w:val="ListParagraph"/>
        <w:numPr>
          <w:ilvl w:val="0"/>
          <w:numId w:val="3"/>
        </w:numPr>
        <w:spacing w:after="0" w:line="240" w:lineRule="auto"/>
        <w:rPr>
          <w:rFonts w:ascii="Open Sans" w:eastAsia="Times New Roman" w:hAnsi="Open Sans" w:cs="Open Sans"/>
          <w:lang w:eastAsia="en-GB"/>
        </w:rPr>
      </w:pPr>
      <w:r w:rsidRPr="005243A0">
        <w:rPr>
          <w:rFonts w:ascii="Open Sans" w:hAnsi="Open Sans" w:cs="Open Sans"/>
        </w:rPr>
        <w:t xml:space="preserve">The cumulative impact of disruption to education during the COVID-19 pandemic has not been evenly spread among those in education, and that those with fewer resources have been hit disproportionately hard. </w:t>
      </w:r>
    </w:p>
    <w:p w14:paraId="50F9E4B5" w14:textId="73C51427" w:rsidR="005243A0" w:rsidRPr="005243A0" w:rsidRDefault="005243A0" w:rsidP="005243A0">
      <w:pPr>
        <w:pStyle w:val="ListParagraph"/>
        <w:numPr>
          <w:ilvl w:val="0"/>
          <w:numId w:val="3"/>
        </w:numPr>
        <w:spacing w:after="0" w:line="240" w:lineRule="auto"/>
        <w:rPr>
          <w:rFonts w:ascii="Open Sans" w:eastAsia="Times New Roman" w:hAnsi="Open Sans" w:cs="Open Sans"/>
          <w:lang w:eastAsia="en-GB"/>
        </w:rPr>
      </w:pPr>
      <w:r w:rsidRPr="005243A0">
        <w:rPr>
          <w:rFonts w:ascii="Open Sans" w:hAnsi="Open Sans" w:cs="Open Sans"/>
        </w:rPr>
        <w:t>The impact on educational opportunities has also been unevenly spread across English regions, with some regions hit with far greater disruption to schooling than others.</w:t>
      </w:r>
    </w:p>
    <w:p w14:paraId="2DDB13B5" w14:textId="77777777" w:rsidR="005243A0" w:rsidRPr="005243A0" w:rsidRDefault="005243A0" w:rsidP="005243A0">
      <w:pPr>
        <w:pStyle w:val="ListParagraph"/>
        <w:numPr>
          <w:ilvl w:val="0"/>
          <w:numId w:val="3"/>
        </w:numPr>
        <w:spacing w:after="0" w:line="240" w:lineRule="auto"/>
        <w:rPr>
          <w:rFonts w:ascii="Open Sans" w:eastAsia="Times New Roman" w:hAnsi="Open Sans" w:cs="Open Sans"/>
          <w:color w:val="2F5496" w:themeColor="accent1" w:themeShade="BF"/>
          <w:lang w:eastAsia="en-GB"/>
        </w:rPr>
      </w:pPr>
      <w:r w:rsidRPr="005243A0">
        <w:rPr>
          <w:rFonts w:ascii="Open Sans" w:hAnsi="Open Sans" w:cs="Open Sans"/>
          <w:color w:val="2F5496" w:themeColor="accent1" w:themeShade="BF"/>
        </w:rPr>
        <w:t xml:space="preserve">In Wales, Kirsty Williams as Education Minister has identified ways to mitigate many of these impacts and turn some of them into opportunities to improve education in the long run. Wales has also introduced a ‘Pupil Development Grant’ to support more disadvantaged pupils. </w:t>
      </w:r>
    </w:p>
    <w:p w14:paraId="6AA315B3" w14:textId="6BD03701" w:rsidR="005243A0" w:rsidRPr="005243A0" w:rsidRDefault="005243A0" w:rsidP="005243A0">
      <w:pPr>
        <w:pStyle w:val="ListParagraph"/>
        <w:numPr>
          <w:ilvl w:val="0"/>
          <w:numId w:val="3"/>
        </w:numPr>
        <w:spacing w:after="0" w:line="240" w:lineRule="auto"/>
        <w:rPr>
          <w:rFonts w:ascii="Open Sans" w:eastAsia="Times New Roman" w:hAnsi="Open Sans" w:cs="Open Sans"/>
          <w:color w:val="2F5496" w:themeColor="accent1" w:themeShade="BF"/>
          <w:lang w:eastAsia="en-GB"/>
        </w:rPr>
      </w:pPr>
      <w:r w:rsidRPr="005243A0">
        <w:rPr>
          <w:rFonts w:ascii="Open Sans" w:hAnsi="Open Sans" w:cs="Open Sans"/>
          <w:color w:val="2F5496" w:themeColor="accent1" w:themeShade="BF"/>
        </w:rPr>
        <w:t>Pupils with Special Educational Needs have been left even further behind and have experienced greater delays in EHCPs.</w:t>
      </w:r>
    </w:p>
    <w:p w14:paraId="6FC73795" w14:textId="77777777" w:rsidR="005243A0" w:rsidRPr="005243A0" w:rsidRDefault="005243A0" w:rsidP="005243A0">
      <w:pPr>
        <w:pStyle w:val="ListParagraph"/>
        <w:numPr>
          <w:ilvl w:val="0"/>
          <w:numId w:val="3"/>
        </w:numPr>
        <w:spacing w:after="0" w:line="240" w:lineRule="auto"/>
        <w:rPr>
          <w:rFonts w:ascii="Open Sans" w:eastAsia="Times New Roman" w:hAnsi="Open Sans" w:cs="Open Sans"/>
          <w:lang w:eastAsia="en-GB"/>
        </w:rPr>
      </w:pPr>
      <w:r w:rsidRPr="005243A0">
        <w:rPr>
          <w:rFonts w:ascii="Open Sans" w:hAnsi="Open Sans" w:cs="Open Sans"/>
        </w:rPr>
        <w:t xml:space="preserve">The pandemic has had a very serious impact on young people’s mental health, as well as their educational opportunities. </w:t>
      </w:r>
    </w:p>
    <w:p w14:paraId="29623D1C" w14:textId="77777777" w:rsidR="005243A0" w:rsidRPr="005243A0" w:rsidRDefault="005243A0" w:rsidP="005243A0">
      <w:pPr>
        <w:pStyle w:val="ListParagraph"/>
        <w:numPr>
          <w:ilvl w:val="0"/>
          <w:numId w:val="3"/>
        </w:numPr>
        <w:spacing w:after="0" w:line="240" w:lineRule="auto"/>
        <w:rPr>
          <w:rFonts w:ascii="Open Sans" w:eastAsia="Times New Roman" w:hAnsi="Open Sans" w:cs="Open Sans"/>
          <w:lang w:eastAsia="en-GB"/>
        </w:rPr>
      </w:pPr>
      <w:r w:rsidRPr="005243A0">
        <w:rPr>
          <w:rFonts w:ascii="Open Sans" w:hAnsi="Open Sans" w:cs="Open Sans"/>
        </w:rPr>
        <w:t xml:space="preserve">LGA analysis shows spending by local authorities on youth services nationally has reduced by 69 per cent since 2010/11, from £1.4 billion to £429 million, with the loss of more than 4,500 youth work jobs and the closure of 750 youth centres. Such youth services offer young people safe places to meet, support them to succeed in school, training, or employment, and help them avoid long-term unemployment, mental health problems, and being lured into criminal activity. </w:t>
      </w:r>
    </w:p>
    <w:p w14:paraId="4AEFCF24" w14:textId="77777777" w:rsidR="005243A0" w:rsidRPr="005243A0" w:rsidRDefault="005243A0" w:rsidP="005243A0">
      <w:pPr>
        <w:pStyle w:val="ListParagraph"/>
        <w:numPr>
          <w:ilvl w:val="0"/>
          <w:numId w:val="3"/>
        </w:numPr>
        <w:spacing w:after="0" w:line="240" w:lineRule="auto"/>
        <w:rPr>
          <w:rFonts w:ascii="Open Sans" w:eastAsia="Times New Roman" w:hAnsi="Open Sans" w:cs="Open Sans"/>
          <w:lang w:eastAsia="en-GB"/>
        </w:rPr>
      </w:pPr>
      <w:r w:rsidRPr="005243A0">
        <w:rPr>
          <w:rFonts w:ascii="Open Sans" w:hAnsi="Open Sans" w:cs="Open Sans"/>
        </w:rPr>
        <w:t xml:space="preserve">The pandemic has made the need for such services greater than ever. </w:t>
      </w:r>
    </w:p>
    <w:p w14:paraId="7B3E7B6E" w14:textId="77777777" w:rsidR="005243A0" w:rsidRPr="005243A0" w:rsidRDefault="005243A0" w:rsidP="005243A0">
      <w:pPr>
        <w:pStyle w:val="ListParagraph"/>
        <w:numPr>
          <w:ilvl w:val="0"/>
          <w:numId w:val="3"/>
        </w:numPr>
        <w:spacing w:after="0" w:line="240" w:lineRule="auto"/>
        <w:rPr>
          <w:rFonts w:ascii="Open Sans" w:eastAsia="Times New Roman" w:hAnsi="Open Sans" w:cs="Open Sans"/>
          <w:lang w:eastAsia="en-GB"/>
        </w:rPr>
      </w:pPr>
      <w:r w:rsidRPr="005243A0">
        <w:rPr>
          <w:rFonts w:ascii="Open Sans" w:hAnsi="Open Sans" w:cs="Open Sans"/>
        </w:rPr>
        <w:t xml:space="preserve">Meanwhile the National Citizen Service (NCS) receives an estimated 95 per cent of the Government’s youth services budget, despite only one in six eligible young people taking part and a fall of eight per cent in participants in the past year; National Citizen Service offers just two to four weeks of voluntary activity for 16 to 17-year-olds, receiving £1.26 billion in government funding from 2016 to 2020. </w:t>
      </w:r>
    </w:p>
    <w:p w14:paraId="72C92438" w14:textId="77777777" w:rsidR="005243A0" w:rsidRPr="005243A0" w:rsidRDefault="005243A0" w:rsidP="005243A0">
      <w:pPr>
        <w:pStyle w:val="ListParagraph"/>
        <w:numPr>
          <w:ilvl w:val="0"/>
          <w:numId w:val="3"/>
        </w:numPr>
        <w:spacing w:after="0" w:line="240" w:lineRule="auto"/>
        <w:rPr>
          <w:rFonts w:ascii="Open Sans" w:eastAsia="Times New Roman" w:hAnsi="Open Sans" w:cs="Open Sans"/>
          <w:lang w:eastAsia="en-GB"/>
        </w:rPr>
      </w:pPr>
      <w:r w:rsidRPr="005243A0">
        <w:rPr>
          <w:rFonts w:ascii="Open Sans" w:hAnsi="Open Sans" w:cs="Open Sans"/>
        </w:rPr>
        <w:t xml:space="preserve">The government’s apprenticeship levy has cost businesses millions of pounds, but there has been little or no analysis of the impact of the levy. </w:t>
      </w:r>
    </w:p>
    <w:p w14:paraId="69FAA088" w14:textId="6633F84A" w:rsidR="006F2DB0" w:rsidRPr="005243A0" w:rsidRDefault="005243A0" w:rsidP="005243A0">
      <w:pPr>
        <w:pStyle w:val="ListParagraph"/>
        <w:numPr>
          <w:ilvl w:val="0"/>
          <w:numId w:val="3"/>
        </w:numPr>
        <w:spacing w:after="0" w:line="240" w:lineRule="auto"/>
        <w:rPr>
          <w:rFonts w:ascii="Open Sans" w:eastAsia="Times New Roman" w:hAnsi="Open Sans" w:cs="Open Sans"/>
          <w:lang w:eastAsia="en-GB"/>
        </w:rPr>
      </w:pPr>
      <w:r w:rsidRPr="005243A0">
        <w:rPr>
          <w:rFonts w:ascii="Open Sans" w:hAnsi="Open Sans" w:cs="Open Sans"/>
        </w:rPr>
        <w:t>Much of the apprenticeship levy remains unspent.</w:t>
      </w:r>
    </w:p>
    <w:p w14:paraId="7F1A3B7C" w14:textId="77777777" w:rsidR="005243A0" w:rsidRPr="005243A0" w:rsidRDefault="005243A0" w:rsidP="005243A0">
      <w:pPr>
        <w:pStyle w:val="ListParagraph"/>
        <w:spacing w:after="0" w:line="240" w:lineRule="auto"/>
        <w:ind w:left="1080"/>
        <w:rPr>
          <w:rFonts w:ascii="Open Sans" w:eastAsia="Times New Roman" w:hAnsi="Open Sans" w:cs="Open Sans"/>
          <w:lang w:eastAsia="en-GB"/>
        </w:rPr>
      </w:pPr>
    </w:p>
    <w:p w14:paraId="4EED75EB" w14:textId="22948523" w:rsidR="006F2DB0" w:rsidRPr="005243A0" w:rsidRDefault="006F2DB0" w:rsidP="006F2DB0">
      <w:pPr>
        <w:spacing w:after="0" w:line="240" w:lineRule="auto"/>
        <w:ind w:left="284" w:hanging="284"/>
        <w:rPr>
          <w:rFonts w:ascii="Open Sans" w:eastAsia="Times New Roman" w:hAnsi="Open Sans" w:cs="Open Sans"/>
          <w:lang w:eastAsia="en-GB"/>
        </w:rPr>
      </w:pPr>
      <w:r w:rsidRPr="005243A0">
        <w:rPr>
          <w:rFonts w:ascii="Open Sans" w:eastAsia="Times New Roman" w:hAnsi="Open Sans" w:cs="Open Sans"/>
          <w:color w:val="000000"/>
          <w:lang w:eastAsia="en-GB"/>
        </w:rPr>
        <w:t>Conference believes</w:t>
      </w:r>
      <w:r w:rsidR="005243A0" w:rsidRPr="005243A0">
        <w:rPr>
          <w:rFonts w:ascii="Open Sans" w:eastAsia="Times New Roman" w:hAnsi="Open Sans" w:cs="Open Sans"/>
          <w:color w:val="000000"/>
          <w:lang w:eastAsia="en-GB"/>
        </w:rPr>
        <w:t xml:space="preserve"> that</w:t>
      </w:r>
      <w:r w:rsidRPr="005243A0">
        <w:rPr>
          <w:rFonts w:ascii="Open Sans" w:eastAsia="Times New Roman" w:hAnsi="Open Sans" w:cs="Open Sans"/>
          <w:color w:val="000000"/>
          <w:lang w:eastAsia="en-GB"/>
        </w:rPr>
        <w:t>:</w:t>
      </w:r>
    </w:p>
    <w:p w14:paraId="06D1A386" w14:textId="77777777" w:rsidR="006F2DB0" w:rsidRPr="005243A0" w:rsidRDefault="006F2DB0" w:rsidP="006F2DB0">
      <w:pPr>
        <w:spacing w:after="0" w:line="240" w:lineRule="auto"/>
        <w:ind w:left="284" w:hanging="284"/>
        <w:rPr>
          <w:rFonts w:ascii="Open Sans" w:eastAsia="Times New Roman" w:hAnsi="Open Sans" w:cs="Open Sans"/>
          <w:lang w:eastAsia="en-GB"/>
        </w:rPr>
      </w:pPr>
    </w:p>
    <w:p w14:paraId="3B7EF107" w14:textId="5A54BAD5" w:rsidR="005243A0" w:rsidRPr="005243A0" w:rsidRDefault="005243A0" w:rsidP="005243A0">
      <w:pPr>
        <w:pStyle w:val="ListParagraph"/>
        <w:numPr>
          <w:ilvl w:val="0"/>
          <w:numId w:val="6"/>
        </w:numPr>
        <w:spacing w:after="0" w:line="240" w:lineRule="auto"/>
        <w:rPr>
          <w:rFonts w:ascii="Open Sans" w:hAnsi="Open Sans" w:cs="Open Sans"/>
        </w:rPr>
      </w:pPr>
      <w:r w:rsidRPr="005243A0">
        <w:rPr>
          <w:rFonts w:ascii="Open Sans" w:hAnsi="Open Sans" w:cs="Open Sans"/>
        </w:rPr>
        <w:lastRenderedPageBreak/>
        <w:t xml:space="preserve">More must be done to ensure that the impact of the pandemic on the life chances of young people is recognised and urgent action must be taken to ensure that young people are not disadvantaged in the long term. </w:t>
      </w:r>
    </w:p>
    <w:p w14:paraId="3AB0E19F" w14:textId="6BEF7BA1" w:rsidR="005243A0" w:rsidRPr="005243A0" w:rsidRDefault="005243A0" w:rsidP="005243A0">
      <w:pPr>
        <w:pStyle w:val="ListParagraph"/>
        <w:numPr>
          <w:ilvl w:val="0"/>
          <w:numId w:val="6"/>
        </w:numPr>
        <w:spacing w:after="0" w:line="240" w:lineRule="auto"/>
        <w:rPr>
          <w:rFonts w:ascii="Open Sans" w:hAnsi="Open Sans" w:cs="Open Sans"/>
        </w:rPr>
      </w:pPr>
      <w:r w:rsidRPr="005243A0">
        <w:rPr>
          <w:rFonts w:ascii="Open Sans" w:hAnsi="Open Sans" w:cs="Open Sans"/>
        </w:rPr>
        <w:t>Given the uneven nature of the impact of the pandemic on children in different areas of England and with different home circumstances and access to online learning, to continue to base the assessment of GCSEs, AS and A levels on exams alone would be deeply unfair.</w:t>
      </w:r>
    </w:p>
    <w:p w14:paraId="22FCCCD9" w14:textId="5BAB0CD0" w:rsidR="005243A0" w:rsidRPr="005243A0" w:rsidRDefault="005243A0" w:rsidP="005243A0">
      <w:pPr>
        <w:pStyle w:val="ListParagraph"/>
        <w:numPr>
          <w:ilvl w:val="0"/>
          <w:numId w:val="6"/>
        </w:numPr>
        <w:spacing w:after="0" w:line="240" w:lineRule="auto"/>
        <w:rPr>
          <w:rFonts w:ascii="Open Sans" w:hAnsi="Open Sans" w:cs="Open Sans"/>
          <w:color w:val="2F5496" w:themeColor="accent1" w:themeShade="BF"/>
        </w:rPr>
      </w:pPr>
      <w:r w:rsidRPr="005243A0">
        <w:rPr>
          <w:rFonts w:ascii="Open Sans" w:hAnsi="Open Sans" w:cs="Open Sans"/>
          <w:color w:val="2F5496" w:themeColor="accent1" w:themeShade="BF"/>
        </w:rPr>
        <w:t>Many of the approaches pioneered in Wales could also be beneficial in England, in particular programmes to tackle holiday hunger and support access to digital tools</w:t>
      </w:r>
      <w:r w:rsidRPr="005243A0">
        <w:rPr>
          <w:rFonts w:ascii="Open Sans" w:hAnsi="Open Sans" w:cs="Open Sans"/>
          <w:color w:val="2F5496" w:themeColor="accent1" w:themeShade="BF"/>
        </w:rPr>
        <w:t>.</w:t>
      </w:r>
    </w:p>
    <w:p w14:paraId="7361A4C5" w14:textId="14E260AC" w:rsidR="005243A0" w:rsidRPr="005243A0" w:rsidRDefault="005243A0" w:rsidP="005243A0">
      <w:pPr>
        <w:pStyle w:val="ListParagraph"/>
        <w:numPr>
          <w:ilvl w:val="0"/>
          <w:numId w:val="6"/>
        </w:numPr>
        <w:spacing w:after="0" w:line="240" w:lineRule="auto"/>
        <w:rPr>
          <w:rFonts w:ascii="Open Sans" w:hAnsi="Open Sans" w:cs="Open Sans"/>
        </w:rPr>
      </w:pPr>
      <w:r w:rsidRPr="005243A0">
        <w:rPr>
          <w:rFonts w:ascii="Open Sans" w:hAnsi="Open Sans" w:cs="Open Sans"/>
        </w:rPr>
        <w:t xml:space="preserve">Investment is needed in youth work, mental health support and pastoral care in schools to ensure young people are able to recover from both educational and emotional damage as a result of the pandemic. </w:t>
      </w:r>
    </w:p>
    <w:p w14:paraId="50F08525" w14:textId="380CFD00" w:rsidR="005243A0" w:rsidRPr="005243A0" w:rsidRDefault="005243A0" w:rsidP="005243A0">
      <w:pPr>
        <w:pStyle w:val="ListParagraph"/>
        <w:numPr>
          <w:ilvl w:val="0"/>
          <w:numId w:val="6"/>
        </w:numPr>
        <w:spacing w:after="0" w:line="240" w:lineRule="auto"/>
        <w:rPr>
          <w:rFonts w:ascii="Open Sans" w:hAnsi="Open Sans" w:cs="Open Sans"/>
        </w:rPr>
      </w:pPr>
      <w:r w:rsidRPr="005243A0">
        <w:rPr>
          <w:rFonts w:ascii="Open Sans" w:hAnsi="Open Sans" w:cs="Open Sans"/>
        </w:rPr>
        <w:t xml:space="preserve">Some of the National Citizen Service funding would be better spent on all-year-round provision for young people of all ages, rather than a time-limited programme which is restricted to a narrow age group and is attracting only a relatively small number of teenagers. </w:t>
      </w:r>
    </w:p>
    <w:p w14:paraId="2ADD9346" w14:textId="501D4071" w:rsidR="006F2DB0" w:rsidRPr="005243A0" w:rsidRDefault="005243A0" w:rsidP="005243A0">
      <w:pPr>
        <w:pStyle w:val="ListParagraph"/>
        <w:numPr>
          <w:ilvl w:val="0"/>
          <w:numId w:val="6"/>
        </w:numPr>
        <w:spacing w:after="0" w:line="240" w:lineRule="auto"/>
        <w:rPr>
          <w:rFonts w:ascii="Open Sans" w:hAnsi="Open Sans" w:cs="Open Sans"/>
        </w:rPr>
      </w:pPr>
      <w:r w:rsidRPr="005243A0">
        <w:rPr>
          <w:rFonts w:ascii="Open Sans" w:hAnsi="Open Sans" w:cs="Open Sans"/>
        </w:rPr>
        <w:t>At this time of national crisis, which is hitting the work opportunities of the young particularly hard, young people at the start of their careers should be the main beneficiaries of unspent apprenticeship levy money.</w:t>
      </w:r>
    </w:p>
    <w:p w14:paraId="049FE769" w14:textId="77777777" w:rsidR="005243A0" w:rsidRPr="005243A0" w:rsidRDefault="005243A0" w:rsidP="006F2DB0">
      <w:pPr>
        <w:spacing w:after="0" w:line="240" w:lineRule="auto"/>
        <w:ind w:left="284" w:hanging="284"/>
        <w:rPr>
          <w:rFonts w:ascii="Open Sans" w:eastAsia="Times New Roman" w:hAnsi="Open Sans" w:cs="Open Sans"/>
          <w:lang w:eastAsia="en-GB"/>
        </w:rPr>
      </w:pPr>
    </w:p>
    <w:p w14:paraId="1167BF05" w14:textId="78F5BC17" w:rsidR="006F2DB0" w:rsidRPr="005243A0" w:rsidRDefault="006F2DB0" w:rsidP="006F2DB0">
      <w:pPr>
        <w:spacing w:after="0" w:line="240" w:lineRule="auto"/>
        <w:ind w:left="284" w:hanging="284"/>
        <w:rPr>
          <w:rFonts w:ascii="Open Sans" w:eastAsia="Times New Roman" w:hAnsi="Open Sans" w:cs="Open Sans"/>
          <w:lang w:eastAsia="en-GB"/>
        </w:rPr>
      </w:pPr>
      <w:r w:rsidRPr="005243A0">
        <w:rPr>
          <w:rFonts w:ascii="Open Sans" w:eastAsia="Times New Roman" w:hAnsi="Open Sans" w:cs="Open Sans"/>
          <w:color w:val="000000"/>
          <w:lang w:eastAsia="en-GB"/>
        </w:rPr>
        <w:t xml:space="preserve">Conference therefore recommends </w:t>
      </w:r>
      <w:r w:rsidR="005243A0" w:rsidRPr="005243A0">
        <w:rPr>
          <w:rFonts w:ascii="Open Sans" w:eastAsia="Times New Roman" w:hAnsi="Open Sans" w:cs="Open Sans"/>
          <w:color w:val="000000"/>
          <w:lang w:eastAsia="en-GB"/>
        </w:rPr>
        <w:t>that</w:t>
      </w:r>
      <w:r w:rsidRPr="005243A0">
        <w:rPr>
          <w:rFonts w:ascii="Open Sans" w:eastAsia="Times New Roman" w:hAnsi="Open Sans" w:cs="Open Sans"/>
          <w:color w:val="000000"/>
          <w:lang w:eastAsia="en-GB"/>
        </w:rPr>
        <w:t>:</w:t>
      </w:r>
    </w:p>
    <w:p w14:paraId="5417ED72" w14:textId="77777777" w:rsidR="006F2DB0" w:rsidRPr="005243A0" w:rsidRDefault="006F2DB0" w:rsidP="006F2DB0">
      <w:pPr>
        <w:spacing w:after="0" w:line="240" w:lineRule="auto"/>
        <w:ind w:left="284" w:hanging="284"/>
        <w:rPr>
          <w:rFonts w:ascii="Open Sans" w:eastAsia="Times New Roman" w:hAnsi="Open Sans" w:cs="Open Sans"/>
          <w:lang w:eastAsia="en-GB"/>
        </w:rPr>
      </w:pPr>
    </w:p>
    <w:p w14:paraId="1FC03E33" w14:textId="4877FB71" w:rsidR="005243A0" w:rsidRPr="005243A0" w:rsidRDefault="005243A0" w:rsidP="005243A0">
      <w:pPr>
        <w:pStyle w:val="ListParagraph"/>
        <w:numPr>
          <w:ilvl w:val="0"/>
          <w:numId w:val="5"/>
        </w:numPr>
        <w:spacing w:after="0" w:line="240" w:lineRule="auto"/>
        <w:rPr>
          <w:rFonts w:ascii="Open Sans" w:eastAsia="Times New Roman" w:hAnsi="Open Sans" w:cs="Open Sans"/>
          <w:lang w:eastAsia="en-GB"/>
        </w:rPr>
      </w:pPr>
      <w:r w:rsidRPr="005243A0">
        <w:rPr>
          <w:rFonts w:ascii="Open Sans" w:hAnsi="Open Sans" w:cs="Open Sans"/>
        </w:rPr>
        <w:t>Given the ongoing disruption to education in many areas of England, over a prolonged period, while the move to alternative assessment is welcome for students due to take exams in 2021, thought needs to be given now to how students taking exams in 2022 can be assessed fairly.</w:t>
      </w:r>
    </w:p>
    <w:p w14:paraId="3DF5F26C" w14:textId="65248FB8" w:rsidR="005243A0" w:rsidRPr="005243A0" w:rsidRDefault="005243A0" w:rsidP="005243A0">
      <w:pPr>
        <w:pStyle w:val="ListParagraph"/>
        <w:numPr>
          <w:ilvl w:val="0"/>
          <w:numId w:val="5"/>
        </w:numPr>
        <w:spacing w:after="0" w:line="240" w:lineRule="auto"/>
        <w:rPr>
          <w:rFonts w:ascii="Open Sans" w:eastAsia="Times New Roman" w:hAnsi="Open Sans" w:cs="Open Sans"/>
          <w:color w:val="2F5496" w:themeColor="accent1" w:themeShade="BF"/>
          <w:lang w:eastAsia="en-GB"/>
        </w:rPr>
      </w:pPr>
      <w:r w:rsidRPr="005243A0">
        <w:rPr>
          <w:rFonts w:ascii="Open Sans" w:hAnsi="Open Sans" w:cs="Open Sans"/>
          <w:color w:val="2F5496" w:themeColor="accent1" w:themeShade="BF"/>
        </w:rPr>
        <w:t>Options should be developed to continue support to digital learning post pandemic. In particular, to support wider participation in less popular subjects such as Further Mathematics and Modern Foreign Languages in schools where they may not otherwise be available.</w:t>
      </w:r>
    </w:p>
    <w:p w14:paraId="48C344F8" w14:textId="4D7CE489" w:rsidR="005243A0" w:rsidRPr="005243A0" w:rsidRDefault="005243A0" w:rsidP="005243A0">
      <w:pPr>
        <w:pStyle w:val="ListParagraph"/>
        <w:numPr>
          <w:ilvl w:val="0"/>
          <w:numId w:val="5"/>
        </w:numPr>
        <w:spacing w:after="0" w:line="240" w:lineRule="auto"/>
        <w:rPr>
          <w:rFonts w:ascii="Open Sans" w:eastAsia="Times New Roman" w:hAnsi="Open Sans" w:cs="Open Sans"/>
          <w:lang w:eastAsia="en-GB"/>
        </w:rPr>
      </w:pPr>
      <w:r w:rsidRPr="005243A0">
        <w:rPr>
          <w:rFonts w:ascii="Open Sans" w:hAnsi="Open Sans" w:cs="Open Sans"/>
        </w:rPr>
        <w:t xml:space="preserve">The money allocated to the National Citizens Service and the £500 million Youth Investment Fund programme for 2020 and 2021 </w:t>
      </w:r>
      <w:r w:rsidRPr="005243A0">
        <w:rPr>
          <w:rFonts w:ascii="Open Sans" w:hAnsi="Open Sans" w:cs="Open Sans"/>
          <w:color w:val="2F5496" w:themeColor="accent1" w:themeShade="BF"/>
        </w:rPr>
        <w:t xml:space="preserve">be allocated </w:t>
      </w:r>
      <w:r w:rsidRPr="005243A0">
        <w:rPr>
          <w:rFonts w:ascii="Open Sans" w:hAnsi="Open Sans" w:cs="Open Sans"/>
          <w:color w:val="2F5496" w:themeColor="accent1" w:themeShade="BF"/>
        </w:rPr>
        <w:t xml:space="preserve">directly to schools for a ‘Covid Catch-Up Premium’ for at least the life term of this parliament so that they can put in place the necessary education recovery </w:t>
      </w:r>
      <w:proofErr w:type="gramStart"/>
      <w:r w:rsidRPr="005243A0">
        <w:rPr>
          <w:rFonts w:ascii="Open Sans" w:hAnsi="Open Sans" w:cs="Open Sans"/>
          <w:color w:val="2F5496" w:themeColor="accent1" w:themeShade="BF"/>
        </w:rPr>
        <w:t>programmes’</w:t>
      </w:r>
      <w:proofErr w:type="gramEnd"/>
      <w:r w:rsidRPr="005243A0">
        <w:rPr>
          <w:rFonts w:ascii="Open Sans" w:hAnsi="Open Sans" w:cs="Open Sans"/>
          <w:color w:val="2F5496" w:themeColor="accent1" w:themeShade="BF"/>
        </w:rPr>
        <w:t xml:space="preserve">. </w:t>
      </w:r>
    </w:p>
    <w:p w14:paraId="77A04D78" w14:textId="77777777" w:rsidR="005243A0" w:rsidRPr="005243A0" w:rsidRDefault="005243A0" w:rsidP="001850AB">
      <w:pPr>
        <w:pStyle w:val="ListParagraph"/>
        <w:numPr>
          <w:ilvl w:val="0"/>
          <w:numId w:val="5"/>
        </w:numPr>
        <w:spacing w:after="0" w:line="240" w:lineRule="auto"/>
        <w:rPr>
          <w:rFonts w:ascii="Open Sans" w:eastAsia="Times New Roman" w:hAnsi="Open Sans" w:cs="Open Sans"/>
          <w:lang w:eastAsia="en-GB"/>
        </w:rPr>
      </w:pPr>
      <w:r w:rsidRPr="005243A0">
        <w:rPr>
          <w:rFonts w:ascii="Open Sans" w:hAnsi="Open Sans" w:cs="Open Sans"/>
        </w:rPr>
        <w:t xml:space="preserve">Any apprenticeship levy money unspent by companies which would be clawed back by the Treasury be allocated to local authorities in partnership with FE colleges and schools to ensure the maximum number of apprenticeship placements are available for young people leaving school and college in 2021. </w:t>
      </w:r>
    </w:p>
    <w:p w14:paraId="64D0A1A6" w14:textId="0DC9D24B" w:rsidR="006F2DB0" w:rsidRPr="001850AB" w:rsidRDefault="005243A0" w:rsidP="001850AB">
      <w:pPr>
        <w:pStyle w:val="ListParagraph"/>
        <w:numPr>
          <w:ilvl w:val="0"/>
          <w:numId w:val="5"/>
        </w:numPr>
        <w:spacing w:after="0" w:line="240" w:lineRule="auto"/>
        <w:ind w:hanging="284"/>
        <w:rPr>
          <w:rFonts w:ascii="Open Sans" w:hAnsi="Open Sans" w:cs="Open Sans"/>
        </w:rPr>
      </w:pPr>
      <w:r w:rsidRPr="001850AB">
        <w:rPr>
          <w:rFonts w:ascii="Open Sans" w:hAnsi="Open Sans" w:cs="Open Sans"/>
        </w:rPr>
        <w:t>Such local authority funded apprenticeship schemes should be granted flexibility over the work placement requirements until July 2022, as the need to get young people into training is urgent, and the number of employers with whom to partner in such schemes is likely to be restricted in the coming year.</w:t>
      </w:r>
    </w:p>
    <w:sectPr w:rsidR="006F2DB0" w:rsidRPr="001850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92942"/>
    <w:multiLevelType w:val="hybridMultilevel"/>
    <w:tmpl w:val="229C172C"/>
    <w:lvl w:ilvl="0" w:tplc="ABEC1A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91479D"/>
    <w:multiLevelType w:val="hybridMultilevel"/>
    <w:tmpl w:val="10C6F620"/>
    <w:lvl w:ilvl="0" w:tplc="ABEC1A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103045"/>
    <w:multiLevelType w:val="multilevel"/>
    <w:tmpl w:val="17F22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624409"/>
    <w:multiLevelType w:val="hybridMultilevel"/>
    <w:tmpl w:val="95C631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C216AF"/>
    <w:multiLevelType w:val="hybridMultilevel"/>
    <w:tmpl w:val="3BAE0D42"/>
    <w:lvl w:ilvl="0" w:tplc="DC6CAB3A">
      <w:start w:val="1"/>
      <w:numFmt w:val="decimal"/>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B20A0E"/>
    <w:multiLevelType w:val="hybridMultilevel"/>
    <w:tmpl w:val="E72E7CD4"/>
    <w:lvl w:ilvl="0" w:tplc="4E86DFA4">
      <w:start w:val="2"/>
      <w:numFmt w:val="upperLetter"/>
      <w:lvlText w:val="%1."/>
      <w:lvlJc w:val="left"/>
      <w:pPr>
        <w:tabs>
          <w:tab w:val="num" w:pos="720"/>
        </w:tabs>
        <w:ind w:left="720" w:hanging="360"/>
      </w:pPr>
    </w:lvl>
    <w:lvl w:ilvl="1" w:tplc="2130893E" w:tentative="1">
      <w:start w:val="1"/>
      <w:numFmt w:val="decimal"/>
      <w:lvlText w:val="%2."/>
      <w:lvlJc w:val="left"/>
      <w:pPr>
        <w:tabs>
          <w:tab w:val="num" w:pos="1440"/>
        </w:tabs>
        <w:ind w:left="1440" w:hanging="360"/>
      </w:pPr>
    </w:lvl>
    <w:lvl w:ilvl="2" w:tplc="8E34E404" w:tentative="1">
      <w:start w:val="1"/>
      <w:numFmt w:val="decimal"/>
      <w:lvlText w:val="%3."/>
      <w:lvlJc w:val="left"/>
      <w:pPr>
        <w:tabs>
          <w:tab w:val="num" w:pos="2160"/>
        </w:tabs>
        <w:ind w:left="2160" w:hanging="360"/>
      </w:pPr>
    </w:lvl>
    <w:lvl w:ilvl="3" w:tplc="2A78994A" w:tentative="1">
      <w:start w:val="1"/>
      <w:numFmt w:val="decimal"/>
      <w:lvlText w:val="%4."/>
      <w:lvlJc w:val="left"/>
      <w:pPr>
        <w:tabs>
          <w:tab w:val="num" w:pos="2880"/>
        </w:tabs>
        <w:ind w:left="2880" w:hanging="360"/>
      </w:pPr>
    </w:lvl>
    <w:lvl w:ilvl="4" w:tplc="161EFBEC" w:tentative="1">
      <w:start w:val="1"/>
      <w:numFmt w:val="decimal"/>
      <w:lvlText w:val="%5."/>
      <w:lvlJc w:val="left"/>
      <w:pPr>
        <w:tabs>
          <w:tab w:val="num" w:pos="3600"/>
        </w:tabs>
        <w:ind w:left="3600" w:hanging="360"/>
      </w:pPr>
    </w:lvl>
    <w:lvl w:ilvl="5" w:tplc="11E8326A" w:tentative="1">
      <w:start w:val="1"/>
      <w:numFmt w:val="decimal"/>
      <w:lvlText w:val="%6."/>
      <w:lvlJc w:val="left"/>
      <w:pPr>
        <w:tabs>
          <w:tab w:val="num" w:pos="4320"/>
        </w:tabs>
        <w:ind w:left="4320" w:hanging="360"/>
      </w:pPr>
    </w:lvl>
    <w:lvl w:ilvl="6" w:tplc="8ACC5458" w:tentative="1">
      <w:start w:val="1"/>
      <w:numFmt w:val="decimal"/>
      <w:lvlText w:val="%7."/>
      <w:lvlJc w:val="left"/>
      <w:pPr>
        <w:tabs>
          <w:tab w:val="num" w:pos="5040"/>
        </w:tabs>
        <w:ind w:left="5040" w:hanging="360"/>
      </w:pPr>
    </w:lvl>
    <w:lvl w:ilvl="7" w:tplc="42902272" w:tentative="1">
      <w:start w:val="1"/>
      <w:numFmt w:val="decimal"/>
      <w:lvlText w:val="%8."/>
      <w:lvlJc w:val="left"/>
      <w:pPr>
        <w:tabs>
          <w:tab w:val="num" w:pos="5760"/>
        </w:tabs>
        <w:ind w:left="5760" w:hanging="360"/>
      </w:pPr>
    </w:lvl>
    <w:lvl w:ilvl="8" w:tplc="F408948E" w:tentative="1">
      <w:start w:val="1"/>
      <w:numFmt w:val="decimal"/>
      <w:lvlText w:val="%9."/>
      <w:lvlJc w:val="left"/>
      <w:pPr>
        <w:tabs>
          <w:tab w:val="num" w:pos="6480"/>
        </w:tabs>
        <w:ind w:left="6480" w:hanging="360"/>
      </w:pPr>
    </w:lvl>
  </w:abstractNum>
  <w:abstractNum w:abstractNumId="6" w15:restartNumberingAfterBreak="0">
    <w:nsid w:val="7F8F5E71"/>
    <w:multiLevelType w:val="hybridMultilevel"/>
    <w:tmpl w:val="610A33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lvl w:ilvl="0">
        <w:numFmt w:val="upperLetter"/>
        <w:lvlText w:val="%1."/>
        <w:lvlJc w:val="left"/>
      </w:lvl>
    </w:lvlOverride>
  </w:num>
  <w:num w:numId="2">
    <w:abstractNumId w:val="5"/>
  </w:num>
  <w:num w:numId="3">
    <w:abstractNumId w:val="0"/>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DB0"/>
    <w:rsid w:val="001850AB"/>
    <w:rsid w:val="005243A0"/>
    <w:rsid w:val="006F2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9E947"/>
  <w15:chartTrackingRefBased/>
  <w15:docId w15:val="{2E829251-C2E0-41CA-BB8A-9AAAE472B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F2DB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F2DB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2DB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F2DB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F2D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F2DB0"/>
  </w:style>
  <w:style w:type="paragraph" w:styleId="ListParagraph">
    <w:name w:val="List Paragraph"/>
    <w:basedOn w:val="Normal"/>
    <w:uiPriority w:val="34"/>
    <w:qFormat/>
    <w:rsid w:val="00524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17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794</Words>
  <Characters>4530</Characters>
  <Application>Microsoft Office Word</Application>
  <DocSecurity>0</DocSecurity>
  <Lines>37</Lines>
  <Paragraphs>10</Paragraphs>
  <ScaleCrop>false</ScaleCrop>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tsp</dc:creator>
  <cp:keywords/>
  <dc:description/>
  <cp:lastModifiedBy>Edmund Thomas Dean</cp:lastModifiedBy>
  <cp:revision>3</cp:revision>
  <dcterms:created xsi:type="dcterms:W3CDTF">2021-01-19T20:31:00Z</dcterms:created>
  <dcterms:modified xsi:type="dcterms:W3CDTF">2022-02-18T21:31:00Z</dcterms:modified>
</cp:coreProperties>
</file>